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68DA2">
      <w:pPr>
        <w:pStyle w:val="3"/>
        <w:keepNext w:val="0"/>
        <w:keepLines w:val="0"/>
        <w:widowControl/>
        <w:suppressLineNumbers w:val="0"/>
        <w:rPr>
          <w:rFonts w:hint="default" w:ascii="Times New Roman" w:hAnsi="Times New Roman" w:cs="Times New Roman"/>
        </w:rPr>
      </w:pPr>
      <w:r>
        <w:rPr>
          <w:rFonts w:hint="default" w:ascii="Times New Roman" w:hAnsi="Times New Roman" w:cs="Times New Roman"/>
        </w:rPr>
        <w:t>Opinions on Further Strengthening the Development of High-Level Sports Teams in Regular Institutions of Higher Education</w:t>
      </w:r>
    </w:p>
    <w:p w14:paraId="41DB68FA">
      <w:pPr>
        <w:pStyle w:val="6"/>
        <w:keepNext w:val="0"/>
        <w:keepLines w:val="0"/>
        <w:widowControl/>
        <w:suppressLineNumbers w:val="0"/>
        <w:rPr>
          <w:rFonts w:hint="default" w:ascii="Times New Roman" w:hAnsi="Times New Roman" w:cs="Times New Roman"/>
        </w:rPr>
      </w:pPr>
      <w:r>
        <w:rPr>
          <w:rStyle w:val="10"/>
          <w:rFonts w:hint="default" w:ascii="Times New Roman" w:hAnsi="Times New Roman" w:cs="Times New Roman"/>
        </w:rPr>
        <w:t>(Issued by the Ministry of Education and the General Administration of Sport, April 18, 2005)</w:t>
      </w:r>
      <w:r>
        <w:rPr>
          <w:rFonts w:hint="default" w:ascii="Times New Roman" w:hAnsi="Times New Roman" w:cs="Times New Roman"/>
        </w:rPr>
        <w:br w:type="textWrapping"/>
      </w:r>
      <w:r>
        <w:rPr>
          <w:rStyle w:val="10"/>
          <w:rFonts w:hint="default" w:ascii="Times New Roman" w:hAnsi="Times New Roman" w:cs="Times New Roman"/>
        </w:rPr>
        <w:t>(Jiao Ti Yi [2005] No. 3)</w:t>
      </w:r>
    </w:p>
    <w:p w14:paraId="653C0F9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w:t>
      </w:r>
      <w:r>
        <w:rPr>
          <w:rFonts w:hint="default" w:ascii="Times New Roman" w:hAnsi="Times New Roman" w:cs="Times New Roman"/>
        </w:rPr>
        <w:br w:type="textWrapping"/>
      </w:r>
      <w:r>
        <w:rPr>
          <w:rFonts w:hint="default" w:ascii="Times New Roman" w:hAnsi="Times New Roman" w:cs="Times New Roman"/>
        </w:rPr>
        <w:t>Education Departments (Commissions) of all provinces, autonomous regions, and municipalities directly under the Central Government;</w:t>
      </w:r>
      <w:r>
        <w:rPr>
          <w:rFonts w:hint="default" w:ascii="Times New Roman" w:hAnsi="Times New Roman" w:cs="Times New Roman"/>
        </w:rPr>
        <w:br w:type="textWrapping"/>
      </w:r>
      <w:r>
        <w:rPr>
          <w:rFonts w:hint="default" w:ascii="Times New Roman" w:hAnsi="Times New Roman" w:cs="Times New Roman"/>
        </w:rPr>
        <w:t>Education Bureau of the Xinjiang Production and Construction Corps;</w:t>
      </w:r>
      <w:r>
        <w:rPr>
          <w:rFonts w:hint="default" w:ascii="Times New Roman" w:hAnsi="Times New Roman" w:cs="Times New Roman"/>
        </w:rPr>
        <w:br w:type="textWrapping"/>
      </w:r>
      <w:r>
        <w:rPr>
          <w:rFonts w:hint="default" w:ascii="Times New Roman" w:hAnsi="Times New Roman" w:cs="Times New Roman"/>
        </w:rPr>
        <w:t>Education Departments (Bureaus) of relevant ministries and commissions;</w:t>
      </w:r>
      <w:r>
        <w:rPr>
          <w:rFonts w:hint="default" w:ascii="Times New Roman" w:hAnsi="Times New Roman" w:cs="Times New Roman"/>
        </w:rPr>
        <w:br w:type="textWrapping"/>
      </w:r>
      <w:r>
        <w:rPr>
          <w:rFonts w:hint="default" w:ascii="Times New Roman" w:hAnsi="Times New Roman" w:cs="Times New Roman"/>
        </w:rPr>
        <w:t>All higher education institutions directly under the Ministry of Education:</w:t>
      </w:r>
    </w:p>
    <w:p w14:paraId="4DDC836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5D9ECCA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School sports constitute the foundation of the National Fitness Program and the Olympic Glory Plan. Schools serve as important bases for cultivating high-quality sports talent. The development of high-level sports teams in regular universities is an integral part of higher education, an important element in building high-level universities, and a vital pathway for the sustainable development of China’s competitive sports.</w:t>
      </w:r>
    </w:p>
    <w:p w14:paraId="71092D7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Since the launch of pilot high-level university sports teams in 1986, universities have actively explored and promoted athletic training, significantly raising competitive standards, cultivating outstanding sports talent, and advancing the comprehensive development of university sports. Valuable experience has been accumulated in admissions policies, student status management, training, and competition systems, providing a solid foundation for further development.</w:t>
      </w:r>
    </w:p>
    <w:p w14:paraId="701D56C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To further enhance university training standards and meet new demands, the following opinions are hereby issued:</w:t>
      </w:r>
    </w:p>
    <w:p w14:paraId="3282544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1B54370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 Purpose</w:t>
      </w:r>
    </w:p>
    <w:p w14:paraId="50AA850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purpose of establishing high-level sports teams in universities is to cultivate well-rounded, high-level sports talent for the country. The objective is to fulfill participation tasks in the World University Games and major domestic and international competitions, contributing to the Olympic Glory Plan and the sustainable development of competitive sports.</w:t>
      </w:r>
    </w:p>
    <w:p w14:paraId="62A5AB6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11D8281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 Macro Planning and Guidance</w:t>
      </w:r>
    </w:p>
    <w:p w14:paraId="1E16B2A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Ministry of Education and the General Administration of Sport encourage universities to develop high-level teams. Macro planning and guidance will be strengthened to form a university training and competition system with clear priorities, distinctive features, and optimized resource allocation.</w:t>
      </w:r>
    </w:p>
    <w:p w14:paraId="1842995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6551FC0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III. Role of Sports Universities</w:t>
      </w:r>
    </w:p>
    <w:p w14:paraId="4844B55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High-level team development in sports universities is an important component of university team construction and should receive strong support.</w:t>
      </w:r>
    </w:p>
    <w:p w14:paraId="0E05F53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723E643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IV. Conditions for Establishment</w:t>
      </w:r>
    </w:p>
    <w:p w14:paraId="5CF5A6A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meeting the following conditions should strive to build high-level teams:</w:t>
      </w:r>
    </w:p>
    <w:p w14:paraId="48DAE787">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Strong performance and established traditions in relevant sports.</w:t>
      </w:r>
    </w:p>
    <w:p w14:paraId="7986DD63">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Clear measures for athlete education, training, competition, management, medical supervision, and nutrition.</w:t>
      </w:r>
    </w:p>
    <w:p w14:paraId="5E9970A8">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Standard training and competition facilities and equipment.</w:t>
      </w:r>
    </w:p>
    <w:p w14:paraId="6B6EAF85">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Highly qualified coaches and research personnel.</w:t>
      </w:r>
    </w:p>
    <w:p w14:paraId="1396417F">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Stable financial support.</w:t>
      </w:r>
    </w:p>
    <w:p w14:paraId="7459806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7F62D2E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 Evaluation and Recruitment</w:t>
      </w:r>
    </w:p>
    <w:p w14:paraId="25FD8A6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High-level teams will undergo regular inspection and evaluation. Only institutions meeting standards may recruit high-level athletes in accordance with Ministry regulations. Institutions failing to meet requirements will lose this privilege.</w:t>
      </w:r>
    </w:p>
    <w:p w14:paraId="2EE8681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4CC94A1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 Enrollment Quota</w:t>
      </w:r>
    </w:p>
    <w:p w14:paraId="584D658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Enrollment of high-level athletes shall be included within approved annual admissions quotas and may not exceed 1% of total undergraduate intake. Institutions may not misuse this policy or expand quotas arbitrarily. Violations will result in suspension of recruitment eligibility.</w:t>
      </w:r>
    </w:p>
    <w:p w14:paraId="345A7BF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Provincial authorities must report recruitment results to the Ministry, and universities must register admitted athletes with the Chinese University Sports Association.</w:t>
      </w:r>
    </w:p>
    <w:p w14:paraId="1D665E5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30CBF74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VII. Academic Requirements</w:t>
      </w:r>
    </w:p>
    <w:p w14:paraId="72595E0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must ensure athletes’ academic progress by scientifically coordinating study, training, and competition schedules to guarantee completion of required coursework.</w:t>
      </w:r>
    </w:p>
    <w:p w14:paraId="52CF868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4BA1155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VIII. Training Obligations</w:t>
      </w:r>
    </w:p>
    <w:p w14:paraId="1A15615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Athletes must follow approved training and competition plans. Those who refuse without valid reasons will be disciplined under student status regulations.</w:t>
      </w:r>
    </w:p>
    <w:p w14:paraId="716C3F6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6F35263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IX. Credit Recognition</w:t>
      </w:r>
    </w:p>
    <w:p w14:paraId="3BFFC54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Training and competition are considered integral parts of academic study and should be included in the credit system. Outstanding competitive achievements may earn additional credit.</w:t>
      </w:r>
    </w:p>
    <w:p w14:paraId="53A48E2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671CE5F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 Graduate Recommendation</w:t>
      </w:r>
    </w:p>
    <w:p w14:paraId="5FD83A4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For institutions recommending students for postgraduate study without examination, outstanding athletic achievements may be weighted in evaluations and given priority consideration under equal conditions.</w:t>
      </w:r>
    </w:p>
    <w:p w14:paraId="62B6BB5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6533936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 Competition Participation</w:t>
      </w:r>
    </w:p>
    <w:p w14:paraId="3F23A97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University teams must participate in national competitions organized by the Ministry. Failure to participate without justification may result in reduced recruitment quotas.</w:t>
      </w:r>
    </w:p>
    <w:p w14:paraId="42341A2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61B2F9D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XII. Coach Development</w:t>
      </w:r>
    </w:p>
    <w:p w14:paraId="5B5A61C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Strengthen coach training and professional development. Establish performance-linked appointment and incentive systems. Attract outstanding coaches by offering preferential policies in professional evaluation, working conditions, and benefits.</w:t>
      </w:r>
    </w:p>
    <w:p w14:paraId="2AB21F9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11CDF678">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XIII. Scientific Research</w:t>
      </w:r>
    </w:p>
    <w:p w14:paraId="7496DE2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should leverage multidisciplinary strengths to enhance scientific training, improve efficiency, shorten training cycles, and address the conflict between academic study and athletic training.</w:t>
      </w:r>
    </w:p>
    <w:p w14:paraId="5219699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189FDC7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XIV. Integration of Education and Sports</w:t>
      </w:r>
    </w:p>
    <w:p w14:paraId="5CFD6A2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Strengthen cooperation with sports authorities to achieve complementary advantages and resource sharing.</w:t>
      </w:r>
    </w:p>
    <w:p w14:paraId="5C75E14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65C3214A">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XV. Talent Development Pathway</w:t>
      </w:r>
      <w:bookmarkStart w:id="0" w:name="_GoBack"/>
      <w:bookmarkEnd w:id="0"/>
    </w:p>
    <w:p w14:paraId="4403A30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should lead in building a coordinated talent development system linking primary, secondary, and higher education, and actively support reserve talent cultivation in schools.</w:t>
      </w:r>
    </w:p>
    <w:p w14:paraId="180319D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1" o:spt="1" style="height:1.5pt;width:432pt;" fillcolor="#A0A0A0" filled="t" stroked="f" coordsize="21600,21600" o:hr="t" o:hrstd="t" o:hralign="center">
            <v:path/>
            <v:fill on="t" focussize="0,0"/>
            <v:stroke on="f"/>
            <v:imagedata o:title=""/>
            <o:lock v:ext="edit"/>
            <w10:wrap type="none"/>
            <w10:anchorlock/>
          </v:rect>
        </w:pict>
      </w:r>
    </w:p>
    <w:p w14:paraId="28908DC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XVI. Funding</w:t>
      </w:r>
    </w:p>
    <w:p w14:paraId="0508DF5C">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While adhering to public welfare principles, universities should utilize market mechanisms to raise funds for high-level team development.</w:t>
      </w:r>
    </w:p>
    <w:p w14:paraId="46FC484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2" o:spt="1" style="height:1.5pt;width:432pt;" fillcolor="#A0A0A0" filled="t" stroked="f" coordsize="21600,21600" o:hr="t" o:hrstd="t" o:hralign="center">
            <v:path/>
            <v:fill on="t" focussize="0,0"/>
            <v:stroke on="f"/>
            <v:imagedata o:title=""/>
            <o:lock v:ext="edit"/>
            <w10:wrap type="none"/>
            <w10:anchorlock/>
          </v:rect>
        </w:pict>
      </w:r>
    </w:p>
    <w:p w14:paraId="52C7411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XVII. Awards</w:t>
      </w:r>
    </w:p>
    <w:p w14:paraId="1596D25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addition to national honors, the Ministry of Education will reward universities, coaches, and athletes achieving outstanding results in the Olympic Games and the World University Games.</w:t>
      </w:r>
    </w:p>
    <w:p w14:paraId="7A87A42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3" o:spt="1" style="height:1.5pt;width:432pt;" fillcolor="#A0A0A0" filled="t" stroked="f" coordsize="21600,21600" o:hr="t" o:hrstd="t" o:hralign="center">
            <v:path/>
            <v:fill on="t" focussize="0,0"/>
            <v:stroke on="f"/>
            <v:imagedata o:title=""/>
            <o:lock v:ext="edit"/>
            <w10:wrap type="none"/>
            <w10:anchorlock/>
          </v:rect>
        </w:pict>
      </w:r>
    </w:p>
    <w:p w14:paraId="7FDA1EF1">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Please forward this document to all affiliated higher education institutions.</w:t>
      </w:r>
    </w:p>
    <w:p w14:paraId="68396DED">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April 18, 2005</w:t>
      </w:r>
    </w:p>
    <w:p w14:paraId="3E96DB5F">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E861A"/>
    <w:multiLevelType w:val="multilevel"/>
    <w:tmpl w:val="A61E861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3C8D52D0"/>
    <w:rsid w:val="412B6CE1"/>
    <w:rsid w:val="44F71432"/>
    <w:rsid w:val="45C767DD"/>
    <w:rsid w:val="45D74323"/>
    <w:rsid w:val="47C27346"/>
    <w:rsid w:val="499D584B"/>
    <w:rsid w:val="4C326C11"/>
    <w:rsid w:val="50C10F02"/>
    <w:rsid w:val="52AA2CA4"/>
    <w:rsid w:val="57D41D25"/>
    <w:rsid w:val="5A9F1012"/>
    <w:rsid w:val="5E1C0591"/>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2265</Words>
  <Characters>2283</Characters>
  <Lines>0</Lines>
  <Paragraphs>0</Paragraphs>
  <TotalTime>38</TotalTime>
  <ScaleCrop>false</ScaleCrop>
  <LinksUpToDate>false</LinksUpToDate>
  <CharactersWithSpaces>2337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2026-03-25T01:18:09Z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F54E2C06FB72436AA2BD0E977B5D0C9A_13</vt:lpwstr>
  </property>
  <property fmtid="{D5CDD505-2E9C-101B-9397-08002B2CF9AE}" pid="4" name="KSOTemplateDocerSaveRecord">
    <vt:lpwstr>eyJoZGlkIjoiOTM3YTZhMmQ5YjRkYWU4ZjU1Y2RhODcyN2E4MDQ1YWIiLCJ1c2VySWQiOiI0MzUzNTQ5NTIifQ==</vt:lpwstr>
  </property>
</Properties>
</file>